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0" w:lineRule="exact"/>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effectExtent l="0" t="0" r="0" b="0"/>
            <wp:wrapNone/>
            <wp:docPr id="6" name="Picture 6" descr="Decisions by Design Reader Toolkit cover. Dark navy, orange top band, cyan subtitle and metallic arrow illustra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Reader_Toolkit_Book_Style_Cover.png"/>
                    <pic:cNvPicPr/>
                  </pic:nvPicPr>
                  <pic:blipFill>
                    <a:blip r:embed="rId18"/>
                    <a:stretch>
                      <a:fillRect/>
                    </a:stretch>
                  </pic:blipFill>
                  <pic:spPr>
                    <a:xfrm>
                      <a:off x="0" y="0"/>
                      <a:ext cx="7772400" cy="10058400"/>
                    </a:xfrm>
                    <a:prstGeom prst="rect"/>
                  </pic:spPr>
                </pic:pic>
              </a:graphicData>
            </a:graphic>
          </wp:anchor>
        </w:drawing>
      </w:r>
      <w:r>
        <w:pict>
          <v:rect id="_x0000_s301" style="position:absolute;margin-left:0pt;margin-top:0pt;width:612pt;height:35pt;z-index:251659264;mso-position-horizontal-relative:page;mso-position-vertical-relative:page" fillcolor="#CFEA93" stroked="f">
            <v:fill color="#CFEA93"/>
            <v:stroke on="f"/>
            <w10:wrap type="none"/>
          </v:rect>
        </w:pict>
      </w:r>
    </w:p>
    <w:p>
      <w:pPr>
        <w:sectPr>
          <w:headerReference w:type="default" r:id="rId9"/>
          <w:footerReference w:type="default" r:id="rId10"/>
          <w:pgSz w:w="12240" w:h="15840"/>
          <w:pgMar w:top="965" w:right="1152" w:bottom="1008" w:left="1152" w:header="403" w:footer="403" w:gutter="0"/>
          <w:cols w:space="720"/>
          <w:docGrid w:linePitch="360"/>
        </w:sectPr>
      </w:pPr>
    </w:p>
    <w:p>
      <w:pPr>
        <w:pStyle w:val="Heading1"/>
      </w:pPr>
      <w:r>
        <w:t>Start with one decision</w:t>
      </w:r>
    </w:p>
    <w:p>
      <w:pPr>
        <w:pStyle w:val="Subtitle"/>
      </w:pPr>
      <w:r>
        <w:t>How to use this toolkit</w:t>
      </w:r>
    </w:p>
    <w:p>
      <w:r>
        <w:rPr>
          <w:b w:val="0"/>
        </w:rPr>
        <w:t>A promising result can justify another test before it justifies a larger commitment. Use this toolkit to make that distinction visible in one live business decision.</w:t>
      </w:r>
    </w:p>
    <w:p>
      <w:pPr>
        <w:spacing w:after="140" w:line="240" w:lineRule="auto"/>
      </w:pPr>
      <w:r>
        <w:rPr>
          <w:b w:val="0"/>
        </w:rPr>
      </w:r>
      <w:r>
        <w:drawing>
          <wp:inline xmlns:a="http://schemas.openxmlformats.org/drawingml/2006/main" xmlns:pic="http://schemas.openxmlformats.org/drawingml/2006/picture">
            <wp:extent cx="6309360" cy="1943100"/>
            <wp:docPr id="2" name="Picture 2" descr="Evidence informs a premise, which supports a commitment. Review can introduce new evidence and reopen the choice."/>
            <wp:cNvGraphicFramePr>
              <a:graphicFrameLocks noChangeAspect="1"/>
            </wp:cNvGraphicFramePr>
            <a:graphic>
              <a:graphicData uri="http://schemas.openxmlformats.org/drawingml/2006/picture">
                <pic:pic>
                  <pic:nvPicPr>
                    <pic:cNvPr id="0" name="visual-1.png"/>
                    <pic:cNvPicPr/>
                  </pic:nvPicPr>
                  <pic:blipFill>
                    <a:blip r:embed="rId14"/>
                    <a:stretch>
                      <a:fillRect/>
                    </a:stretch>
                  </pic:blipFill>
                  <pic:spPr>
                    <a:xfrm>
                      <a:off x="0" y="0"/>
                      <a:ext cx="6309360" cy="1943100"/>
                    </a:xfrm>
                    <a:prstGeom prst="rect"/>
                  </pic:spPr>
                </pic:pic>
              </a:graphicData>
            </a:graphic>
          </wp:inline>
        </w:drawing>
      </w:r>
    </w:p>
    <w:p>
      <w:pPr>
        <w:pStyle w:val="Heading2"/>
      </w:pPr>
      <w:r>
        <w:t>Choose a decision you can still influence</w:t>
      </w:r>
    </w:p>
    <w:p>
      <w:r>
        <w:rPr>
          <w:b w:val="0"/>
        </w:rPr>
        <w:t>For example, expanding a pilot, renewing a supplier or increasing a budget. Name the choice, rather than the general problem.</w:t>
      </w:r>
    </w:p>
    <w:p>
      <w:r>
        <w:rPr>
          <w:b/>
          <w:sz w:val="22"/>
        </w:rPr>
        <w:t>The decision I want to review</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pStyle w:val="Heading2"/>
      </w:pPr>
      <w:r>
        <w:t>Use the toolkit in this order</w:t>
      </w:r>
    </w:p>
    <w:p>
      <w:r>
        <w:rPr>
          <w:b w:val="0"/>
          <w:sz w:val="22"/>
        </w:rPr>
        <w:t>1  Scan the seven conditions on page 2.</w:t>
        <w:br/>
        <w:t>2  Complete the decision record on pages 3 and 4.</w:t>
        <w:br/>
        <w:t>3  Use the example on pages 5 and 6 where it helps.</w:t>
        <w:br/>
        <w:t>4  Agree the action and review route on page 7.</w:t>
      </w:r>
    </w:p>
    <w:p>
      <w:r>
        <w:rPr>
          <w:b w:val="0"/>
          <w:sz w:val="22"/>
        </w:rPr>
        <w:t>You should leave with a clearer choice, the uncertainty being accepted and a named person able to act when new evidence arrives.</w:t>
      </w:r>
    </w:p>
    <w:p>
      <w:pPr>
        <w:spacing w:after="160"/>
      </w:pPr>
      <w:r>
        <w:rPr>
          <w:b w:val="0"/>
          <w:sz w:val="19"/>
        </w:rPr>
        <w:t>Adapted from Chapter 11 of Decisions by Design. These are proposed working aids, not a validated assessment. Match the depth of review to the stakes and reversibility of the choice.</w:t>
      </w:r>
    </w:p>
    <w:p>
      <w:r>
        <w:rPr>
          <w:b w:val="0"/>
          <w:sz w:val="17"/>
        </w:rPr>
        <w:t>© 2026 Gilles Argivier</w:t>
      </w:r>
    </w:p>
    <w:p>
      <w:r>
        <w:br w:type="page"/>
      </w:r>
    </w:p>
    <w:p>
      <w:pPr>
        <w:pStyle w:val="Heading1"/>
      </w:pPr>
      <w:r>
        <w:t>Seven conditions to examine</w:t>
      </w:r>
    </w:p>
    <w:p>
      <w:pPr>
        <w:pStyle w:val="Subtitle"/>
      </w:pPr>
      <w:r>
        <w:t>Find what could change the preferred option</w:t>
      </w:r>
    </w:p>
    <w:p>
      <w:r>
        <w:rPr>
          <w:b w:val="0"/>
        </w:rPr>
        <w:t>Use these questions to examine the setting around your decision. Focus on the conditions that could affect the choice; no score is required.</w:t>
      </w:r>
    </w:p>
    <w:p>
      <w:pPr>
        <w:pStyle w:val="Heading2"/>
      </w:pPr>
      <w:r>
        <w:t>Signals</w:t>
      </w:r>
    </w:p>
    <w:p>
      <w:r>
        <w:rPr>
          <w:b w:val="0"/>
        </w:rPr>
        <w:t>What evidence is missing, delayed or defined in a misleading way?</w:t>
      </w:r>
    </w:p>
    <w:p>
      <w:pPr>
        <w:pStyle w:val="Heading2"/>
      </w:pPr>
      <w:r>
        <w:t>Assumptions</w:t>
      </w:r>
    </w:p>
    <w:p>
      <w:r>
        <w:rPr>
          <w:b w:val="0"/>
        </w:rPr>
        <w:t>What must be true, and what observation would weaken that belief?</w:t>
      </w:r>
    </w:p>
    <w:p>
      <w:pPr>
        <w:pStyle w:val="Heading2"/>
      </w:pPr>
      <w:r>
        <w:t>Authority</w:t>
      </w:r>
    </w:p>
    <w:p>
      <w:r>
        <w:rPr>
          <w:b w:val="0"/>
        </w:rPr>
        <w:t>Who can approve, challenge, pause or revise the commitment?</w:t>
      </w:r>
    </w:p>
    <w:p>
      <w:pPr>
        <w:pStyle w:val="Heading2"/>
      </w:pPr>
      <w:r>
        <w:t>Incentives</w:t>
      </w:r>
    </w:p>
    <w:p>
      <w:r>
        <w:rPr>
          <w:b w:val="0"/>
        </w:rPr>
        <w:t>Could someone meet a local target while making the wider result worse?</w:t>
      </w:r>
    </w:p>
    <w:p>
      <w:pPr>
        <w:pStyle w:val="Heading2"/>
      </w:pPr>
      <w:r>
        <w:t>Constraints</w:t>
      </w:r>
    </w:p>
    <w:p>
      <w:r>
        <w:rPr>
          <w:b w:val="0"/>
        </w:rPr>
        <w:t>Which dependency or capacity limit actually restricts the choice?</w:t>
      </w:r>
    </w:p>
    <w:p>
      <w:pPr>
        <w:pStyle w:val="Heading2"/>
      </w:pPr>
      <w:r>
        <w:t>Operating Rhythm</w:t>
      </w:r>
    </w:p>
    <w:p>
      <w:r>
        <w:rPr>
          <w:b w:val="0"/>
        </w:rPr>
        <w:t>Will evidence arrive while a different action is still possible?</w:t>
      </w:r>
    </w:p>
    <w:p>
      <w:pPr>
        <w:pStyle w:val="Heading2"/>
      </w:pPr>
      <w:r>
        <w:t>Feedback and Adaptation</w:t>
      </w:r>
    </w:p>
    <w:p>
      <w:r>
        <w:rPr>
          <w:b w:val="0"/>
        </w:rPr>
        <w:t>When results change, who can change the next decision?</w:t>
      </w:r>
    </w:p>
    <w:p>
      <w:pPr>
        <w:pStyle w:val="Heading2"/>
      </w:pPr>
      <w:r>
        <w:t>Which conditions need attention first</w:t>
      </w:r>
    </w:p>
    <w:p>
      <w:r>
        <w:rPr>
          <w:b w:val="0"/>
          <w:sz w:val="22"/>
        </w:rPr>
        <w:t>Name one or two and the evidence needed to examine them.</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160"/>
      </w:pPr>
      <w:r>
        <w:rPr>
          <w:b w:val="0"/>
          <w:sz w:val="19"/>
        </w:rPr>
        <w:t>The seven conditions examine the organizational setting. The six fields on the next pages organize one choice. Their relationships can overlap.</w:t>
      </w:r>
    </w:p>
    <w:p>
      <w:r>
        <w:br w:type="page"/>
      </w:r>
    </w:p>
    <w:p>
      <w:pPr>
        <w:pStyle w:val="Heading1"/>
      </w:pPr>
      <w:r>
        <w:t>Decision record</w:t>
      </w:r>
    </w:p>
    <w:p>
      <w:pPr>
        <w:pStyle w:val="Subtitle"/>
      </w:pPr>
      <w:r>
        <w:t>Part 1  Define the choice and its basis</w:t>
      </w:r>
    </w:p>
    <w:p>
      <w:r>
        <w:rPr>
          <w:b w:val="0"/>
          <w:sz w:val="21"/>
        </w:rPr>
        <w:t>Decision ___________________________  Owner ______________________</w:t>
        <w:br/>
        <w:t>Date ______________________________  Version _____________________</w:t>
      </w:r>
    </w:p>
    <w:p>
      <w:r>
        <w:rPr>
          <w:b w:val="0"/>
          <w:sz w:val="21"/>
        </w:rPr>
        <w:t>Type into this Word version or write on the printed pages. Attach evidence or calculations when needed. Keep the same name and version on page 4.</w:t>
      </w:r>
    </w:p>
    <w:p>
      <w:pPr>
        <w:pStyle w:val="Heading2"/>
      </w:pPr>
      <w:r>
        <w:t>1  Decision and alternatives</w:t>
      </w:r>
    </w:p>
    <w:p>
      <w:r>
        <w:rPr>
          <w:b w:val="0"/>
          <w:sz w:val="21"/>
        </w:rPr>
        <w:t>What action is proposed, at what scope and under which conditions? Compare credible alternatives, including continuation where feasible. Name the actual approver.</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pStyle w:val="Heading2"/>
      </w:pPr>
      <w:r>
        <w:t>2  Objectives and trade offs</w:t>
      </w:r>
    </w:p>
    <w:p>
      <w:r>
        <w:rPr>
          <w:b w:val="0"/>
          <w:sz w:val="21"/>
        </w:rPr>
        <w:t>What counts as success, for whom and by when? Separate mandatory requirements from preferences. State the measures and trade-offs being accepted.</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pStyle w:val="Heading2"/>
      </w:pPr>
      <w:r>
        <w:t>3  Evidence and premises</w:t>
      </w:r>
    </w:p>
    <w:p>
      <w:r>
        <w:rPr>
          <w:b w:val="0"/>
          <w:sz w:val="21"/>
        </w:rPr>
        <w:t>What do observations support, and what remains an estimate or projection? Give sources and limits. Name the premise that could change the choice. Is further testing worth its cost and delay?</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r>
        <w:br w:type="page"/>
      </w:r>
    </w:p>
    <w:p>
      <w:pPr>
        <w:pStyle w:val="Heading1"/>
      </w:pPr>
      <w:r>
        <w:t>Decision record</w:t>
      </w:r>
    </w:p>
    <w:p>
      <w:pPr>
        <w:pStyle w:val="Subtitle"/>
      </w:pPr>
      <w:r>
        <w:t>Part 2  Establish action and reconsideration</w:t>
      </w:r>
    </w:p>
    <w:p>
      <w:r>
        <w:rPr>
          <w:b w:val="0"/>
          <w:sz w:val="21"/>
        </w:rPr>
        <w:t>Decision ___________________________  Owner ______________________</w:t>
        <w:br/>
        <w:t>Date ______________________________  Version _____________________</w:t>
      </w:r>
    </w:p>
    <w:p>
      <w:r>
        <w:rPr>
          <w:b w:val="0"/>
          <w:sz w:val="21"/>
        </w:rPr>
        <w:t>A proposed permission or resource is not a confirmed one. Mark unknowns and identify who must resolve them.</w:t>
      </w:r>
    </w:p>
    <w:p>
      <w:pPr>
        <w:pStyle w:val="Heading2"/>
      </w:pPr>
      <w:r>
        <w:t>4  Dependencies and rights</w:t>
      </w:r>
    </w:p>
    <w:p>
      <w:r>
        <w:rPr>
          <w:b w:val="0"/>
          <w:sz w:val="21"/>
        </w:rPr>
        <w:t>What must be available, and who controls it? Include capacity limits and affected people. State the accepted downside, who bears it and who can authorize it. Mark unknown rights or motives.</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pStyle w:val="Heading2"/>
      </w:pPr>
      <w:r>
        <w:t>5  Proposed change and comparison</w:t>
      </w:r>
    </w:p>
    <w:p>
      <w:r>
        <w:rPr>
          <w:b w:val="0"/>
          <w:sz w:val="21"/>
        </w:rPr>
        <w:t>Why is this action preferable to the alternatives, at what cost? Keep a competing explanation in view. Name the implementation owner, committed resources, first action and deadline.</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pStyle w:val="Heading2"/>
      </w:pPr>
      <w:r>
        <w:t>6  Review and response</w:t>
      </w:r>
    </w:p>
    <w:p>
      <w:r>
        <w:rPr>
          <w:b w:val="0"/>
          <w:sz w:val="21"/>
        </w:rPr>
        <w:t>What evidence or event reopens the choice? Who brings it forward, and who can act? State what would weaken the diagnosis. After review, record the decision, next action and any costly obligation.</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r>
        <w:br w:type="page"/>
      </w:r>
    </w:p>
    <w:p>
      <w:pPr>
        <w:pStyle w:val="Heading1"/>
      </w:pPr>
      <w:r>
        <w:t>Worked example</w:t>
      </w:r>
    </w:p>
    <w:p>
      <w:pPr>
        <w:pStyle w:val="Subtitle"/>
      </w:pPr>
      <w:r>
        <w:t>Part 1  Test the complete offer</w:t>
      </w:r>
    </w:p>
    <w:p>
      <w:pPr>
        <w:spacing w:after="160"/>
      </w:pPr>
      <w:r>
        <w:rPr>
          <w:b w:val="0"/>
          <w:sz w:val="19"/>
        </w:rPr>
        <w:t>Hypothetical example. All figures, roles and thresholds are invented to show how to use the record. This is not an Ecoliss operating account or a commercial forecast.</w:t>
      </w:r>
    </w:p>
    <w:p>
      <w:pPr>
        <w:pStyle w:val="Heading2"/>
      </w:pPr>
      <w:r>
        <w:t>1  Decision and alternatives</w:t>
      </w:r>
    </w:p>
    <w:p>
      <w:r>
        <w:rPr>
          <w:b w:val="0"/>
        </w:rPr>
        <w:t>A manufacturer proposes a recyclable-casing appliance at €55 beside a conventional €50 option. The choices are a national rollout, a limited pilot, redesign or deferral. The general manager can approve the pilot; wider launch needs a separate decision.</w:t>
      </w:r>
    </w:p>
    <w:p>
      <w:pPr>
        <w:pStyle w:val="Heading2"/>
      </w:pPr>
      <w:r>
        <w:t>2  Objectives and trade offs</w:t>
      </w:r>
    </w:p>
    <w:p>
      <w:r>
        <w:rPr>
          <w:b w:val="0"/>
        </w:rPr>
        <w:t>Test demand for the price and performance together. Product and safety requirements must be met before stores receive stock. The team accepts a later launch if the demand evidence remains weak.</w:t>
      </w:r>
    </w:p>
    <w:p>
      <w:r>
        <w:rPr>
          <w:b w:val="0"/>
          <w:sz w:val="22"/>
        </w:rPr>
        <w:t>Illustrative review thresholds are two units sold per store per week over four complete trading weeks, with no stockouts, and at least €8 contribution per unit after variable costs.</w:t>
      </w:r>
    </w:p>
    <w:p>
      <w:pPr>
        <w:pStyle w:val="Heading2"/>
      </w:pPr>
      <w:r>
        <w:t>3  Evidence and premises</w:t>
      </w:r>
    </w:p>
    <w:p>
      <w:r>
        <w:rPr>
          <w:b w:val="0"/>
        </w:rPr>
        <w:t>Surveys suggest interest in sustainability. They do not establish willingness to buy this offer. The premise to test is that enough shoppers will accept its price and performance together.</w:t>
      </w:r>
    </w:p>
    <w:p>
      <w:pPr>
        <w:spacing w:after="140" w:line="240" w:lineRule="auto"/>
      </w:pPr>
      <w:r>
        <w:rPr>
          <w:b w:val="0"/>
        </w:rPr>
      </w:r>
      <w:r>
        <w:drawing>
          <wp:inline xmlns:a="http://schemas.openxmlformats.org/drawingml/2006/main" xmlns:pic="http://schemas.openxmlformats.org/drawingml/2006/picture">
            <wp:extent cx="6309360" cy="1739900"/>
            <wp:docPr id="3" name="Picture 3" descr="A 32 euro manufacturer receipt is divided into 20 euros product and freight, 4 euros other variable costs, and 8 euros contribution before fixed pilot costs."/>
            <wp:cNvGraphicFramePr>
              <a:graphicFrameLocks noChangeAspect="1"/>
            </wp:cNvGraphicFramePr>
            <a:graphic>
              <a:graphicData uri="http://schemas.openxmlformats.org/drawingml/2006/picture">
                <pic:pic>
                  <pic:nvPicPr>
                    <pic:cNvPr id="0" name="visual-2.png"/>
                    <pic:cNvPicPr/>
                  </pic:nvPicPr>
                  <pic:blipFill>
                    <a:blip r:embed="rId15"/>
                    <a:stretch>
                      <a:fillRect/>
                    </a:stretch>
                  </pic:blipFill>
                  <pic:spPr>
                    <a:xfrm>
                      <a:off x="0" y="0"/>
                      <a:ext cx="6309360" cy="1739900"/>
                    </a:xfrm>
                    <a:prstGeom prst="rect"/>
                  </pic:spPr>
                </pic:pic>
              </a:graphicData>
            </a:graphic>
          </wp:inline>
        </w:drawing>
      </w:r>
    </w:p>
    <w:p>
      <w:pPr>
        <w:spacing w:after="160"/>
      </w:pPr>
      <w:r>
        <w:rPr>
          <w:b w:val="0"/>
          <w:sz w:val="19"/>
        </w:rPr>
        <w:t>Illustrative unit model. Other variable costs include allowances, expected returns and servicing. Actual pilot results must replace these estimates. Fixed pilot costs are additional.</w:t>
      </w:r>
    </w:p>
    <w:p>
      <w:r>
        <w:rPr>
          <w:b w:val="0"/>
          <w:sz w:val="22"/>
        </w:rPr>
        <w:t>Store observations can explain objections. Comparing different appliances tests complete offers; it cannot isolate the effect of recyclable material alone.</w:t>
      </w:r>
    </w:p>
    <w:p>
      <w:r>
        <w:br w:type="page"/>
      </w:r>
    </w:p>
    <w:p>
      <w:pPr>
        <w:pStyle w:val="Heading1"/>
      </w:pPr>
      <w:r>
        <w:t>Worked example</w:t>
      </w:r>
    </w:p>
    <w:p>
      <w:pPr>
        <w:pStyle w:val="Subtitle"/>
      </w:pPr>
      <w:r>
        <w:t>Part 2  Preserve the next choice</w:t>
      </w:r>
    </w:p>
    <w:p>
      <w:pPr>
        <w:spacing w:after="160"/>
      </w:pPr>
      <w:r>
        <w:rPr>
          <w:b w:val="0"/>
          <w:sz w:val="19"/>
        </w:rPr>
        <w:t>Continuation of the hypothetical example. The permissions and controls below are stipulated for illustration.</w:t>
      </w:r>
    </w:p>
    <w:p>
      <w:pPr>
        <w:pStyle w:val="Heading2"/>
      </w:pPr>
      <w:r>
        <w:t>4  Dependencies and rights</w:t>
      </w:r>
    </w:p>
    <w:p>
      <w:r>
        <w:rPr>
          <w:b w:val="0"/>
        </w:rPr>
        <w:t>The retailer confirms eight stores, shelf placement, price display and weekly reporting. Product and compliance leads confirm requirements; operations confirms supply and servicing. The pilot waits until these conditions are met.</w:t>
      </w:r>
    </w:p>
    <w:p>
      <w:r>
        <w:rPr>
          <w:b w:val="0"/>
          <w:sz w:val="22"/>
        </w:rPr>
        <w:t>The general manager accepts a €12,000 cap on cash commitments, including stock and support. Finance checks the cap. The product lead can pause for safety; the general manager can revise or stop the pilot. The manufacturer bears the unsold-stock exposure.</w:t>
      </w:r>
    </w:p>
    <w:p>
      <w:pPr>
        <w:pStyle w:val="Heading2"/>
      </w:pPr>
      <w:r>
        <w:t>5  Proposed change and comparison</w:t>
      </w:r>
    </w:p>
    <w:p>
      <w:r>
        <w:rPr>
          <w:b w:val="0"/>
        </w:rPr>
        <w:t>The commercial director runs four trading weeks with 160 units across eight stores, after finance checks the commitment and the retailer agrees a start date. A pilot limits exposure but costs time and money. Rollout commits more cash; redesign delays testing; deferral postpones learning.</w:t>
      </w:r>
    </w:p>
    <w:p>
      <w:pPr>
        <w:pStyle w:val="Heading2"/>
      </w:pPr>
      <w:r>
        <w:t>6  Review and response</w:t>
      </w:r>
    </w:p>
    <w:p>
      <w:r>
        <w:rPr>
          <w:b w:val="0"/>
          <w:sz w:val="22"/>
        </w:rPr>
        <w:t>Review weekly and after four complete weeks. Pause for a safety failure; seek a new decision before exceeding the cap. Missing data, stockouts or changed placement prevent a simple threshold comparison. Retain placement and unfamiliarity as possible explanations for weak sales.</w:t>
      </w:r>
    </w:p>
    <w:p>
      <w:pPr>
        <w:spacing w:after="140" w:line="240" w:lineRule="auto"/>
      </w:pPr>
      <w:r>
        <w:rPr>
          <w:b w:val="0"/>
        </w:rPr>
      </w:r>
      <w:r>
        <w:drawing>
          <wp:inline xmlns:a="http://schemas.openxmlformats.org/drawingml/2006/main" xmlns:pic="http://schemas.openxmlformats.org/drawingml/2006/picture">
            <wp:extent cx="6309360" cy="2298700"/>
            <wp:docPr id="4" name="Picture 4" descr="A limited pilot leads to a separate review. Review can lead to redesign or retest, deferral or stopping, or a proposal for wider launch. Passing thresholds does not authorize rollout."/>
            <wp:cNvGraphicFramePr>
              <a:graphicFrameLocks noChangeAspect="1"/>
            </wp:cNvGraphicFramePr>
            <a:graphic>
              <a:graphicData uri="http://schemas.openxmlformats.org/drawingml/2006/picture">
                <pic:pic>
                  <pic:nvPicPr>
                    <pic:cNvPr id="0" name="visual-3.png"/>
                    <pic:cNvPicPr/>
                  </pic:nvPicPr>
                  <pic:blipFill>
                    <a:blip r:embed="rId16"/>
                    <a:stretch>
                      <a:fillRect/>
                    </a:stretch>
                  </pic:blipFill>
                  <pic:spPr>
                    <a:xfrm>
                      <a:off x="0" y="0"/>
                      <a:ext cx="6309360" cy="2298700"/>
                    </a:xfrm>
                    <a:prstGeom prst="rect"/>
                  </pic:spPr>
                </pic:pic>
              </a:graphicData>
            </a:graphic>
          </wp:inline>
        </w:drawing>
      </w:r>
    </w:p>
    <w:p>
      <w:pPr>
        <w:spacing w:after="160"/>
      </w:pPr>
      <w:r>
        <w:rPr>
          <w:b w:val="0"/>
          <w:sz w:val="19"/>
        </w:rPr>
        <w:t>At review, examine sales, contribution, returns, shopper objections and execution differences. The general manager chooses the next action. Wider demand and capacity remain open questions; unit contribution does not establish total pilot profitability.</w:t>
      </w:r>
    </w:p>
    <w:p>
      <w:r>
        <w:br w:type="page"/>
      </w:r>
    </w:p>
    <w:p>
      <w:pPr>
        <w:pStyle w:val="Heading1"/>
      </w:pPr>
      <w:r>
        <w:t>Team review guide</w:t>
      </w:r>
    </w:p>
    <w:p>
      <w:pPr>
        <w:pStyle w:val="Subtitle"/>
      </w:pPr>
      <w:r>
        <w:t>Finish with a decision someone can act on</w:t>
      </w:r>
    </w:p>
    <w:p>
      <w:r>
        <w:rPr>
          <w:b w:val="0"/>
        </w:rPr>
        <w:t>Bring the owner, a person able to challenge the key premise and the people controlling important dependencies. Include the approver or establish a clear route to them.</w:t>
      </w:r>
    </w:p>
    <w:p>
      <w:pPr>
        <w:pStyle w:val="Heading2"/>
      </w:pPr>
      <w:r>
        <w:t>Ask before committing more</w:t>
      </w:r>
    </w:p>
    <w:p>
      <w:pPr>
        <w:spacing w:after="120"/>
      </w:pPr>
      <w:r>
        <w:rPr>
          <w:b w:val="0"/>
          <w:sz w:val="22"/>
        </w:rPr>
        <w:t>•  Which alternative best meets the objectives under current conditions?</w:t>
      </w:r>
    </w:p>
    <w:p>
      <w:pPr>
        <w:spacing w:after="120"/>
      </w:pPr>
      <w:r>
        <w:rPr>
          <w:b w:val="0"/>
          <w:sz w:val="22"/>
        </w:rPr>
        <w:t>•  What evidence could change our choice before it becomes costly to reverse?</w:t>
      </w:r>
    </w:p>
    <w:p>
      <w:pPr>
        <w:spacing w:after="120"/>
      </w:pPr>
      <w:r>
        <w:rPr>
          <w:b w:val="0"/>
          <w:sz w:val="22"/>
        </w:rPr>
        <w:t>•  Could local targets, hidden expert support or a dependency explain the apparent result?</w:t>
      </w:r>
    </w:p>
    <w:p>
      <w:pPr>
        <w:spacing w:after="120"/>
      </w:pPr>
      <w:r>
        <w:rPr>
          <w:b w:val="0"/>
          <w:sz w:val="22"/>
        </w:rPr>
        <w:t>•  Who bears the accepted downside, and who can authorize or reduce it?</w:t>
      </w:r>
    </w:p>
    <w:p>
      <w:pPr>
        <w:pStyle w:val="Heading2"/>
      </w:pPr>
      <w:r>
        <w:t>Record the outcome</w:t>
      </w:r>
    </w:p>
    <w:p>
      <w:r>
        <w:rPr>
          <w:b w:val="0"/>
          <w:sz w:val="21"/>
        </w:rPr>
        <w:t>Decision and reason  What continues, changes or waits, and why?</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r>
        <w:rPr>
          <w:b w:val="0"/>
          <w:sz w:val="21"/>
        </w:rPr>
        <w:t>Owner and action  Who does what, with which resources and by when?</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r>
        <w:rPr>
          <w:b w:val="0"/>
          <w:sz w:val="21"/>
        </w:rPr>
        <w:t>Reconsideration  Which evidence or event reaches which approver, and when?</w:t>
      </w:r>
    </w:p>
    <w:p>
      <w:pPr>
        <w:spacing w:after="0" w:line="400" w:lineRule="exact"/>
        <w:pBdr>
          <w:bottom w:val="single" w:sz="3" w:color="CAD1D7"/>
          <w:between w:val="single" w:sz="3" w:color="CAD1D7"/>
        </w:pBdr>
      </w:pPr>
      <w:r>
        <w:rPr>
          <w:b w:val="0"/>
        </w:rPr>
      </w:r>
    </w:p>
    <w:p>
      <w:pPr>
        <w:spacing w:after="0" w:line="400" w:lineRule="exact"/>
        <w:pBdr>
          <w:bottom w:val="single" w:sz="3" w:color="CAD1D7"/>
          <w:between w:val="single" w:sz="3" w:color="CAD1D7"/>
        </w:pBdr>
      </w:pPr>
      <w:r>
        <w:rPr>
          <w:b w:val="0"/>
        </w:rPr>
      </w:r>
    </w:p>
    <w:p>
      <w:pPr>
        <w:spacing w:after="140" w:line="240" w:lineRule="auto"/>
      </w:pPr>
      <w:r>
        <w:rPr>
          <w:b w:val="0"/>
        </w:rPr>
      </w:r>
      <w:r>
        <w:drawing>
          <wp:inline xmlns:a="http://schemas.openxmlformats.org/drawingml/2006/main" xmlns:pic="http://schemas.openxmlformats.org/drawingml/2006/picture">
            <wp:extent cx="6309360" cy="1422400"/>
            <wp:docPr id="5" name="Picture 5" descr="Changed evidence is brought forward by the owner. The approver acts, and the dated revised record informs the next review."/>
            <wp:cNvGraphicFramePr>
              <a:graphicFrameLocks noChangeAspect="1"/>
            </wp:cNvGraphicFramePr>
            <a:graphic>
              <a:graphicData uri="http://schemas.openxmlformats.org/drawingml/2006/picture">
                <pic:pic>
                  <pic:nvPicPr>
                    <pic:cNvPr id="0" name="visual-4.png"/>
                    <pic:cNvPicPr/>
                  </pic:nvPicPr>
                  <pic:blipFill>
                    <a:blip r:embed="rId17"/>
                    <a:stretch>
                      <a:fillRect/>
                    </a:stretch>
                  </pic:blipFill>
                  <pic:spPr>
                    <a:xfrm>
                      <a:off x="0" y="0"/>
                      <a:ext cx="6309360" cy="1422400"/>
                    </a:xfrm>
                    <a:prstGeom prst="rect"/>
                  </pic:spPr>
                </pic:pic>
              </a:graphicData>
            </a:graphic>
          </wp:inline>
        </w:drawing>
      </w:r>
    </w:p>
    <w:p>
      <w:r>
        <w:rPr>
          <w:b w:val="0"/>
          <w:sz w:val="22"/>
        </w:rPr>
        <w:t>Keep the earlier record. Date the revision and state what changed in the reasoning or decision system. A useful review may support continuing the current course.</w:t>
      </w:r>
    </w:p>
    <w:p>
      <w:r>
        <w:rPr>
          <w:b w:val="0"/>
          <w:sz w:val="20"/>
        </w:rPr>
        <w:t>To discuss a decision affecting your business, visit gillesargivier.com.</w:t>
      </w:r>
    </w:p>
    <w:p>
      <w:pPr>
        <w:sectPr>
          <w:headerReference w:type="default" r:id="rId12"/>
          <w:footerReference w:type="default" r:id="rId13"/>
          <w:pgSz w:w="12240" w:h="15840"/>
          <w:pgMar w:top="965" w:right="1152" w:bottom="1008" w:left="1152" w:header="403" w:footer="403" w:gutter="0"/>
          <w:cols w:space="720"/>
          <w:docGrid w:linePitch="360"/>
          <w:pgNumType w:start="1"/>
        </w:sectPr>
      </w:pPr>
    </w:p>
    <w:p>
      <w:pPr>
        <w:spacing w:before="0" w:after="0" w:line="20" w:lineRule="exact"/>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effectExtent l="0" t="0" r="0" b="0"/>
            <wp:wrapNone/>
            <wp:docPr id="7" name="Picture 7" descr="Reader Toolkit back cover with practical contents, author introduction and websit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Reader_Toolkit_Back_Cover.png"/>
                    <pic:cNvPicPr/>
                  </pic:nvPicPr>
                  <pic:blipFill>
                    <a:blip r:embed="rId21"/>
                    <a:stretch>
                      <a:fillRect/>
                    </a:stretch>
                  </pic:blipFill>
                  <pic:spPr>
                    <a:xfrm>
                      <a:off x="0" y="0"/>
                      <a:ext cx="7772400" cy="10058400"/>
                    </a:xfrm>
                    <a:prstGeom prst="rect"/>
                  </pic:spPr>
                </pic:pic>
              </a:graphicData>
            </a:graphic>
          </wp:anchor>
        </w:drawing>
      </w:r>
      <w:r>
        <w:pict>
          <v:rect id="_x0000_s302" style="position:absolute;margin-left:0pt;margin-top:0pt;width:612pt;height:35pt;z-index:251659264;mso-position-horizontal-relative:page;mso-position-vertical-relative:page" fillcolor="#CFEA93" stroked="f">
            <v:fill color="#CFEA93"/>
            <v:stroke on="f"/>
            <w10:wrap type="none"/>
          </v:rect>
        </w:pict>
      </w:r>
    </w:p>
    <w:sectPr w:rsidR="00FC693F" w:rsidRPr="0006063C" w:rsidSect="00034616">
      <w:headerReference w:type="default" r:id="rId19"/>
      <w:footerReference w:type="default" r:id="rId20"/>
      <w:pgSz w:w="12240" w:h="15840"/>
      <w:pgMar w:top="965" w:right="1152" w:bottom="1008" w:left="1152" w:header="403" w:footer="403"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Gilles Argivier  ·  gillesargivier.com</w:t>
    </w:r>
    <w:r>
      <w:tab/>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DECISIONS BY DESIGN  |  READER TOOLKIT</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0" w:lineRule="exact" w:after="160"/>
    </w:pPr>
    <w:rPr>
      <w:rFonts w:ascii="Noto Serif" w:hAnsi="Noto Serif" w:eastAsia="Noto Serif" w:cs="Noto Serif"/>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oto Serif" w:hAnsi="Noto Serif" w:eastAsia="Noto Serif" w:cs="Noto Serif"/>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oto Serif" w:hAnsi="Noto Serif" w:eastAsia="Noto Serif" w:cs="Noto Serif"/>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Noto Serif" w:hAnsi="Noto Serif" w:eastAsia="Noto Serif" w:cs="Noto Serif"/>
      <w:b/>
      <w:bCs/>
      <w:i w:val="0"/>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Noto Serif" w:hAnsi="Noto Serif" w:eastAsia="Noto Serif" w:cs="Noto Serif"/>
      <w:b/>
      <w:bCs/>
      <w:i w:val="0"/>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Noto Serif" w:hAnsi="Noto Serif" w:eastAsia="Noto Serif" w:cs="Noto Serif"/>
      <w:b/>
      <w:i w:val="0"/>
      <w:color w:val="000000"/>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spacing w:before="0" w:after="140"/>
    </w:pPr>
    <w:rPr>
      <w:rFonts w:ascii="Noto Serif" w:hAnsi="Noto Serif" w:eastAsia="Noto Serif" w:cs="Noto Serif"/>
      <w:b w:val="0"/>
      <w:i w:val="0"/>
      <w:iCs/>
      <w:color w:val="000000"/>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by Design Reader Toolkit</dc:title>
  <dc:subject>Illustrated worksheets for reviewing one business decision</dc:subject>
  <dc:creator>Gilles Argivier</dc:creator>
  <cp:keywords/>
  <dc:description>generated by python-docx</dc:description>
  <cp:lastModifiedBy/>
  <cp:revision>1</cp:revision>
  <dcterms:created xsi:type="dcterms:W3CDTF">2013-12-23T23:15:00Z</dcterms:created>
  <dcterms:modified xsi:type="dcterms:W3CDTF">2013-12-23T23:15:00Z</dcterms:modified>
  <cp:category/>
</cp:coreProperties>
</file>